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разработке дополнительной общеразвивающе</w:t>
      </w:r>
      <w:r>
        <w:rPr>
          <w:rFonts w:hAnsi="Times New Roman" w:cs="Times New Roman"/>
          <w:color w:val="000000"/>
          <w:sz w:val="24"/>
          <w:szCs w:val="24"/>
        </w:rPr>
        <w:t>й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со статьями </w:t>
      </w:r>
      <w:r>
        <w:rPr>
          <w:rFonts w:hAnsi="Times New Roman" w:cs="Times New Roman"/>
          <w:color w:val="000000"/>
          <w:sz w:val="24"/>
          <w:szCs w:val="24"/>
        </w:rPr>
        <w:t>2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12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75</w:t>
      </w:r>
      <w:r>
        <w:rPr>
          <w:rFonts w:hAnsi="Times New Roman" w:cs="Times New Roman"/>
          <w:color w:val="000000"/>
          <w:sz w:val="24"/>
          <w:szCs w:val="24"/>
        </w:rPr>
        <w:t xml:space="preserve"> Федерального закона от 29.12.2012 № 273-ФЗ «Об образовании в РФ», 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 27.07.2022 № 629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организации и осуществления образовательной деятельности по дополнительным общеобразовательным программам»,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положением об организации и осуществлении образовательной деятельности по дополнительным общеобразовательным программам 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 Сформировать рабочую группу по подготовке дополнительной общеразвивающей программы (далее – ДОП) 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направленности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уровень программы –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 1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Утвердить: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 обязанностей участников рабочей группы (</w:t>
      </w:r>
      <w:r>
        <w:rPr>
          <w:rFonts w:hAnsi="Times New Roman" w:cs="Times New Roman"/>
          <w:color w:val="000000"/>
          <w:sz w:val="24"/>
          <w:szCs w:val="24"/>
        </w:rPr>
        <w:t>приложение 2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график разработки ДОП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 3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довести настоящий приказ до упомянутых в нем лиц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Контроль исполнения настоящего приказа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дело №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 за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 год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 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 приказу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 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Состав рабочей группы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 подготовке ДОП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рабочей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группы: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председателя: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рабочей группы: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 2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 приказу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 обязанностей участников рабочей группы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 подготовке ДОП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Название раздела/подраздела ООП ДО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 за разработку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 приказу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 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График разработки ДОП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 деятельности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Исполнители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0664903d27642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